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1002B" w:rsidRPr="000E1154" w14:paraId="4D07E525" w14:textId="77777777" w:rsidTr="000E1FA2">
        <w:tc>
          <w:tcPr>
            <w:tcW w:w="9350" w:type="dxa"/>
            <w:shd w:val="clear" w:color="auto" w:fill="002060"/>
          </w:tcPr>
          <w:p w14:paraId="4056625A" w14:textId="77777777" w:rsidR="00E1002B" w:rsidRPr="000E1154" w:rsidRDefault="00E1002B" w:rsidP="000E1FA2">
            <w:pPr>
              <w:tabs>
                <w:tab w:val="left" w:pos="630"/>
              </w:tabs>
              <w:jc w:val="center"/>
              <w:rPr>
                <w:rFonts w:ascii="Calibri" w:eastAsia="Times New Roman" w:hAnsi="Calibri" w:cs="Calibri"/>
                <w:b/>
                <w:color w:val="000000"/>
                <w:sz w:val="28"/>
                <w:szCs w:val="28"/>
                <w:u w:val="single"/>
              </w:rPr>
            </w:pPr>
            <w:bookmarkStart w:id="0" w:name="_GoBack"/>
            <w:bookmarkEnd w:id="0"/>
            <w:r w:rsidRPr="000E1154">
              <w:rPr>
                <w:rFonts w:ascii="Calibri" w:eastAsia="Times New Roman" w:hAnsi="Calibri" w:cs="Calibri"/>
                <w:b/>
                <w:color w:val="FFFFFF" w:themeColor="background1"/>
                <w:sz w:val="32"/>
                <w:szCs w:val="32"/>
              </w:rPr>
              <w:t>Building’s Moving Procedures</w:t>
            </w:r>
          </w:p>
        </w:tc>
      </w:tr>
      <w:tr w:rsidR="00E1002B" w:rsidRPr="000E1154" w14:paraId="42DB5775" w14:textId="77777777" w:rsidTr="000E1FA2">
        <w:tc>
          <w:tcPr>
            <w:tcW w:w="9350" w:type="dxa"/>
          </w:tcPr>
          <w:p w14:paraId="42EE9D19" w14:textId="77777777" w:rsidR="00E1002B" w:rsidRPr="00804E0C" w:rsidRDefault="00E1002B" w:rsidP="00E1002B">
            <w:pPr>
              <w:tabs>
                <w:tab w:val="left" w:pos="630"/>
              </w:tabs>
              <w:rPr>
                <w:rFonts w:ascii="Calibri" w:eastAsia="Times New Roman" w:hAnsi="Calibri" w:cs="Calibri"/>
                <w:i/>
                <w:color w:val="000000"/>
                <w:sz w:val="6"/>
                <w:szCs w:val="6"/>
              </w:rPr>
            </w:pPr>
          </w:p>
          <w:p w14:paraId="570DAE0F" w14:textId="77777777" w:rsidR="00E1002B" w:rsidRPr="00804E0C" w:rsidRDefault="00E1002B" w:rsidP="00E1002B">
            <w:pPr>
              <w:tabs>
                <w:tab w:val="left" w:pos="630"/>
              </w:tabs>
              <w:rPr>
                <w:rFonts w:ascii="Calibri" w:eastAsia="Times New Roman" w:hAnsi="Calibri" w:cs="Calibri"/>
                <w:i/>
                <w:color w:val="000000"/>
                <w:sz w:val="24"/>
                <w:szCs w:val="24"/>
              </w:rPr>
            </w:pPr>
            <w:r w:rsidRPr="00804E0C">
              <w:rPr>
                <w:rFonts w:ascii="Calibri" w:eastAsia="Times New Roman" w:hAnsi="Calibri" w:cs="Calibri"/>
                <w:i/>
                <w:color w:val="000000"/>
                <w:sz w:val="24"/>
                <w:szCs w:val="24"/>
              </w:rPr>
              <w:t>Please review the following moving procedures prior to the move in date:</w:t>
            </w:r>
          </w:p>
        </w:tc>
      </w:tr>
      <w:tr w:rsidR="00E1002B" w:rsidRPr="000E1154" w14:paraId="4BC0860F" w14:textId="77777777" w:rsidTr="000E1FA2">
        <w:tc>
          <w:tcPr>
            <w:tcW w:w="9350" w:type="dxa"/>
          </w:tcPr>
          <w:p w14:paraId="73B6ED75" w14:textId="77777777" w:rsidR="00E1002B" w:rsidRPr="00804E0C" w:rsidRDefault="00E1002B" w:rsidP="00E1002B">
            <w:pPr>
              <w:rPr>
                <w:rFonts w:ascii="Calibri" w:eastAsia="Times New Roman" w:hAnsi="Calibri" w:cs="Calibri"/>
                <w:color w:val="000000"/>
                <w:sz w:val="6"/>
                <w:szCs w:val="6"/>
              </w:rPr>
            </w:pPr>
          </w:p>
        </w:tc>
      </w:tr>
      <w:tr w:rsidR="00E1002B" w:rsidRPr="000E1154" w14:paraId="43084313" w14:textId="77777777" w:rsidTr="000E1FA2">
        <w:tc>
          <w:tcPr>
            <w:tcW w:w="9350" w:type="dxa"/>
          </w:tcPr>
          <w:p w14:paraId="33E3BE4C" w14:textId="447A13D9" w:rsidR="00E1002B" w:rsidRPr="00B07E69" w:rsidRDefault="00E1002B" w:rsidP="004D3ED7">
            <w:pPr>
              <w:pStyle w:val="ListParagraph"/>
              <w:numPr>
                <w:ilvl w:val="0"/>
                <w:numId w:val="7"/>
              </w:numPr>
              <w:spacing w:before="120"/>
              <w:rPr>
                <w:rFonts w:ascii="Calibri" w:eastAsia="Times New Roman" w:hAnsi="Calibri" w:cs="Calibri"/>
                <w:color w:val="000000"/>
                <w:sz w:val="24"/>
                <w:szCs w:val="24"/>
              </w:rPr>
            </w:pPr>
            <w:r w:rsidRPr="00B07E69">
              <w:rPr>
                <w:rFonts w:ascii="Calibri" w:eastAsia="Times New Roman" w:hAnsi="Calibri" w:cs="Calibri"/>
                <w:color w:val="000000"/>
                <w:sz w:val="24"/>
                <w:szCs w:val="24"/>
              </w:rPr>
              <w:t xml:space="preserve">Moves must occur after </w:t>
            </w:r>
            <w:r w:rsidR="00B07E69">
              <w:rPr>
                <w:rFonts w:ascii="Calibri" w:eastAsia="Times New Roman" w:hAnsi="Calibri" w:cs="Calibri"/>
                <w:color w:val="000000"/>
                <w:sz w:val="24"/>
                <w:szCs w:val="24"/>
              </w:rPr>
              <w:t>6</w:t>
            </w:r>
            <w:r w:rsidRPr="00B07E69">
              <w:rPr>
                <w:rFonts w:ascii="Calibri" w:eastAsia="Times New Roman" w:hAnsi="Calibri" w:cs="Calibri"/>
                <w:color w:val="000000"/>
                <w:sz w:val="24"/>
                <w:szCs w:val="24"/>
              </w:rPr>
              <w:t>pm</w:t>
            </w:r>
            <w:r w:rsidR="008C1402">
              <w:rPr>
                <w:rFonts w:ascii="Calibri" w:eastAsia="Times New Roman" w:hAnsi="Calibri" w:cs="Calibri"/>
                <w:color w:val="000000"/>
                <w:sz w:val="24"/>
                <w:szCs w:val="24"/>
              </w:rPr>
              <w:t xml:space="preserve"> </w:t>
            </w:r>
            <w:r w:rsidR="004D3ED7">
              <w:rPr>
                <w:rFonts w:ascii="Calibri" w:eastAsia="Times New Roman" w:hAnsi="Calibri" w:cs="Calibri"/>
                <w:color w:val="000000"/>
                <w:sz w:val="24"/>
                <w:szCs w:val="24"/>
              </w:rPr>
              <w:t>on weekdays</w:t>
            </w:r>
            <w:r w:rsidRPr="00B07E69">
              <w:rPr>
                <w:rFonts w:ascii="Calibri" w:eastAsia="Times New Roman" w:hAnsi="Calibri" w:cs="Calibri"/>
                <w:color w:val="000000"/>
                <w:sz w:val="24"/>
                <w:szCs w:val="24"/>
              </w:rPr>
              <w:t xml:space="preserve">, or anytime </w:t>
            </w:r>
            <w:r w:rsidR="008C1402">
              <w:rPr>
                <w:rFonts w:ascii="Calibri" w:eastAsia="Times New Roman" w:hAnsi="Calibri" w:cs="Calibri"/>
                <w:color w:val="000000"/>
                <w:sz w:val="24"/>
                <w:szCs w:val="24"/>
              </w:rPr>
              <w:t xml:space="preserve">on weekends </w:t>
            </w:r>
            <w:r w:rsidRPr="00B07E69">
              <w:rPr>
                <w:rFonts w:ascii="Calibri" w:eastAsia="Times New Roman" w:hAnsi="Calibri" w:cs="Calibri"/>
                <w:color w:val="000000"/>
                <w:sz w:val="24"/>
                <w:szCs w:val="24"/>
              </w:rPr>
              <w:t>with advanced notice.</w:t>
            </w:r>
            <w:r w:rsidR="003364FE">
              <w:rPr>
                <w:rFonts w:ascii="Calibri" w:eastAsia="Times New Roman" w:hAnsi="Calibri" w:cs="Calibri"/>
                <w:color w:val="000000"/>
                <w:sz w:val="24"/>
                <w:szCs w:val="24"/>
              </w:rPr>
              <w:t xml:space="preserve">  Pleae request the date/time desired as soon as possible to avoid conflicts with reservations of the loadind dock and service elevators.</w:t>
            </w:r>
          </w:p>
        </w:tc>
      </w:tr>
      <w:tr w:rsidR="00E1002B" w:rsidRPr="000E1154" w14:paraId="7BF26FD0" w14:textId="77777777" w:rsidTr="000E1FA2">
        <w:tc>
          <w:tcPr>
            <w:tcW w:w="9350" w:type="dxa"/>
          </w:tcPr>
          <w:p w14:paraId="0553D3D6" w14:textId="77777777" w:rsidR="00E1002B" w:rsidRPr="00B07E69" w:rsidRDefault="00E1002B" w:rsidP="004D3ED7">
            <w:pPr>
              <w:pStyle w:val="ListParagraph"/>
              <w:numPr>
                <w:ilvl w:val="0"/>
                <w:numId w:val="7"/>
              </w:numPr>
              <w:spacing w:before="120"/>
              <w:rPr>
                <w:rFonts w:ascii="Calibri" w:eastAsia="Times New Roman" w:hAnsi="Calibri" w:cs="Calibri"/>
                <w:color w:val="000000"/>
                <w:sz w:val="24"/>
                <w:szCs w:val="24"/>
              </w:rPr>
            </w:pPr>
            <w:r w:rsidRPr="00B07E69">
              <w:rPr>
                <w:rFonts w:ascii="Calibri" w:eastAsia="Times New Roman" w:hAnsi="Calibri" w:cs="Calibri"/>
                <w:color w:val="000000"/>
                <w:sz w:val="24"/>
                <w:szCs w:val="24"/>
              </w:rPr>
              <w:t>Tenant is responsible for supervising move and providing suite and building access.</w:t>
            </w:r>
          </w:p>
        </w:tc>
      </w:tr>
      <w:tr w:rsidR="00E1002B" w:rsidRPr="000E1154" w14:paraId="240CB7BF" w14:textId="77777777" w:rsidTr="000E1FA2">
        <w:tc>
          <w:tcPr>
            <w:tcW w:w="9350" w:type="dxa"/>
          </w:tcPr>
          <w:p w14:paraId="1EB86BCF" w14:textId="6F28F57F" w:rsidR="00FE49A2" w:rsidRPr="00B07E69" w:rsidRDefault="004D3ED7" w:rsidP="004D3ED7">
            <w:pPr>
              <w:pStyle w:val="ListParagraph"/>
              <w:numPr>
                <w:ilvl w:val="0"/>
                <w:numId w:val="7"/>
              </w:numPr>
              <w:spacing w:before="120"/>
              <w:rPr>
                <w:rFonts w:ascii="Calibri" w:eastAsia="Times New Roman" w:hAnsi="Calibri" w:cs="Calibri"/>
                <w:color w:val="000000"/>
                <w:sz w:val="24"/>
                <w:szCs w:val="24"/>
              </w:rPr>
            </w:pPr>
            <w:r>
              <w:rPr>
                <w:rFonts w:ascii="Calibri" w:eastAsia="Times New Roman" w:hAnsi="Calibri" w:cs="Calibri"/>
                <w:color w:val="000000"/>
                <w:sz w:val="24"/>
                <w:szCs w:val="24"/>
              </w:rPr>
              <w:t xml:space="preserve">Floor and wall protection (i.e., Masonite) must be used to cover common area surfaces where items will be moved. </w:t>
            </w:r>
            <w:r w:rsidR="00FE49A2" w:rsidRPr="00FE49A2">
              <w:rPr>
                <w:rFonts w:ascii="Calibri" w:eastAsia="Times New Roman" w:hAnsi="Calibri" w:cs="Calibri"/>
                <w:color w:val="000000"/>
                <w:sz w:val="24"/>
                <w:szCs w:val="24"/>
              </w:rPr>
              <w:t xml:space="preserve">At the conclusion of any move, the moving company is responsible for removing all trash, packing cartons, and moving boxes. The building trash containers are not to be used for </w:t>
            </w:r>
            <w:r>
              <w:rPr>
                <w:rFonts w:ascii="Calibri" w:eastAsia="Times New Roman" w:hAnsi="Calibri" w:cs="Calibri"/>
                <w:color w:val="000000"/>
                <w:sz w:val="24"/>
                <w:szCs w:val="24"/>
              </w:rPr>
              <w:t>re</w:t>
            </w:r>
            <w:r w:rsidR="00FE49A2" w:rsidRPr="00FE49A2">
              <w:rPr>
                <w:rFonts w:ascii="Calibri" w:eastAsia="Times New Roman" w:hAnsi="Calibri" w:cs="Calibri"/>
                <w:color w:val="000000"/>
                <w:sz w:val="24"/>
                <w:szCs w:val="24"/>
              </w:rPr>
              <w:t>moving debris.</w:t>
            </w:r>
          </w:p>
        </w:tc>
      </w:tr>
      <w:tr w:rsidR="00E1002B" w:rsidRPr="000E1154" w14:paraId="587E65E9" w14:textId="77777777" w:rsidTr="000E1FA2">
        <w:tc>
          <w:tcPr>
            <w:tcW w:w="9350" w:type="dxa"/>
          </w:tcPr>
          <w:p w14:paraId="16F1E22C" w14:textId="516BA018" w:rsidR="00FE49A2" w:rsidRPr="004D3ED7" w:rsidRDefault="00FE49A2" w:rsidP="004D3ED7">
            <w:pPr>
              <w:pStyle w:val="ListParagraph"/>
              <w:numPr>
                <w:ilvl w:val="0"/>
                <w:numId w:val="7"/>
              </w:numPr>
              <w:spacing w:before="120"/>
              <w:rPr>
                <w:rFonts w:ascii="Calibri" w:eastAsia="Times New Roman" w:hAnsi="Calibri" w:cs="Calibri"/>
                <w:color w:val="000000"/>
                <w:sz w:val="24"/>
                <w:szCs w:val="24"/>
              </w:rPr>
            </w:pPr>
            <w:r w:rsidRPr="00FE49A2">
              <w:rPr>
                <w:rFonts w:ascii="Calibri" w:eastAsia="Times New Roman" w:hAnsi="Calibri" w:cs="Calibri"/>
                <w:color w:val="000000"/>
                <w:sz w:val="24"/>
                <w:szCs w:val="24"/>
              </w:rPr>
              <w:t>It is recommended that the moving company supervisor visit the building to become familiar with the elevator locations, clearances and conditions before the move is scheduled.</w:t>
            </w:r>
            <w:r w:rsidRPr="00B07E69">
              <w:rPr>
                <w:rFonts w:ascii="Calibri" w:eastAsia="Times New Roman" w:hAnsi="Calibri" w:cs="Calibri"/>
                <w:color w:val="000000"/>
                <w:sz w:val="24"/>
                <w:szCs w:val="24"/>
              </w:rPr>
              <w:t xml:space="preserve"> </w:t>
            </w:r>
          </w:p>
        </w:tc>
      </w:tr>
      <w:tr w:rsidR="00E1002B" w:rsidRPr="000E1154" w14:paraId="3B7C1CB0" w14:textId="77777777" w:rsidTr="000E1FA2">
        <w:tc>
          <w:tcPr>
            <w:tcW w:w="9350" w:type="dxa"/>
            <w:tcBorders>
              <w:top w:val="nil"/>
              <w:bottom w:val="single" w:sz="4" w:space="0" w:color="auto"/>
            </w:tcBorders>
          </w:tcPr>
          <w:p w14:paraId="3A10FE59" w14:textId="6541E551" w:rsidR="00B07E69" w:rsidRDefault="00FE49A2" w:rsidP="004D3ED7">
            <w:pPr>
              <w:pStyle w:val="ListParagraph"/>
              <w:numPr>
                <w:ilvl w:val="0"/>
                <w:numId w:val="7"/>
              </w:numPr>
              <w:spacing w:before="120"/>
              <w:rPr>
                <w:rFonts w:ascii="Calibri" w:eastAsia="Times New Roman" w:hAnsi="Calibri" w:cs="Calibri"/>
                <w:sz w:val="24"/>
                <w:szCs w:val="24"/>
              </w:rPr>
            </w:pPr>
            <w:r w:rsidRPr="00FE49A2">
              <w:rPr>
                <w:rFonts w:ascii="Calibri" w:eastAsia="Times New Roman" w:hAnsi="Calibri" w:cs="Calibri"/>
                <w:sz w:val="24"/>
                <w:szCs w:val="24"/>
              </w:rPr>
              <w:t>The building has two separate freight elevators accessible through the loading dock. The elevators and the service entrance to the building are the only means to be used for moving boxes, furniture or equipment. Passenger elevators and lobby entrances may not be used during a move. All vehicles used for loading and unloading must use the loading dock. Damage caused to any elevator or to the building during a move will be charged to the tenant. All materials, pallets, etc., to be hoisted in service elevators must be containerized and broken down or sized to fit the cabs and will be limited in weight and size to the capacity of the elevators as follows:</w:t>
            </w:r>
            <w:r w:rsidRPr="00B07E69">
              <w:rPr>
                <w:rFonts w:ascii="Calibri" w:eastAsia="Times New Roman" w:hAnsi="Calibri" w:cs="Calibri"/>
                <w:sz w:val="24"/>
                <w:szCs w:val="24"/>
              </w:rPr>
              <w:t xml:space="preserve"> </w:t>
            </w:r>
          </w:p>
          <w:p w14:paraId="2C074173" w14:textId="77777777" w:rsidR="000D325D" w:rsidRPr="000D325D" w:rsidRDefault="000D325D" w:rsidP="000D325D">
            <w:pPr>
              <w:pStyle w:val="ListParagraph"/>
              <w:spacing w:before="120"/>
              <w:ind w:left="360"/>
              <w:rPr>
                <w:rFonts w:ascii="Calibri" w:eastAsia="Times New Roman" w:hAnsi="Calibri" w:cs="Calibri"/>
                <w:sz w:val="16"/>
                <w:szCs w:val="16"/>
              </w:rPr>
            </w:pPr>
          </w:p>
          <w:p w14:paraId="2F58AD5A" w14:textId="77777777" w:rsidR="00B07E69" w:rsidRPr="00FE49A2" w:rsidRDefault="00B07E69" w:rsidP="00B07E69">
            <w:pPr>
              <w:pStyle w:val="ListParagraph"/>
              <w:numPr>
                <w:ilvl w:val="1"/>
                <w:numId w:val="7"/>
              </w:numPr>
              <w:spacing w:before="240"/>
              <w:rPr>
                <w:rFonts w:ascii="Calibri" w:eastAsia="Times New Roman" w:hAnsi="Calibri" w:cs="Calibri"/>
                <w:sz w:val="24"/>
                <w:szCs w:val="24"/>
              </w:rPr>
            </w:pPr>
            <w:r w:rsidRPr="00FE49A2">
              <w:rPr>
                <w:rFonts w:ascii="Calibri" w:eastAsia="Times New Roman" w:hAnsi="Calibri" w:cs="Calibri"/>
                <w:sz w:val="24"/>
                <w:szCs w:val="24"/>
              </w:rPr>
              <w:t xml:space="preserve">#5 Low-Rise Freight Elevator </w:t>
            </w:r>
          </w:p>
          <w:p w14:paraId="093B54D4" w14:textId="0616AF88"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(Floors: Sub, Lobby, 2,7 thru 22)</w:t>
            </w:r>
          </w:p>
          <w:p w14:paraId="4431FE84"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Height: 120” or 10’6”</w:t>
            </w:r>
          </w:p>
          <w:p w14:paraId="4CFDDBF4"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Depth: 60” or 5’</w:t>
            </w:r>
          </w:p>
          <w:p w14:paraId="41EBFCDA"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Width: 90” or 7’5”</w:t>
            </w:r>
          </w:p>
          <w:p w14:paraId="15500F8A"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Door Opening: 4’x6’ 11”-1/2</w:t>
            </w:r>
          </w:p>
          <w:p w14:paraId="3B70DA87" w14:textId="6CD276D6" w:rsidR="00B07E69"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Weight Limit: 3,500 lbs.</w:t>
            </w:r>
          </w:p>
          <w:p w14:paraId="6125CEAD" w14:textId="77777777" w:rsidR="000D325D" w:rsidRPr="000D325D" w:rsidRDefault="000D325D" w:rsidP="00B42979">
            <w:pPr>
              <w:pStyle w:val="ListParagraph"/>
              <w:spacing w:before="240"/>
              <w:ind w:left="1800"/>
              <w:rPr>
                <w:rFonts w:ascii="Calibri" w:eastAsia="Times New Roman" w:hAnsi="Calibri" w:cs="Calibri"/>
                <w:sz w:val="16"/>
                <w:szCs w:val="16"/>
              </w:rPr>
            </w:pPr>
          </w:p>
          <w:p w14:paraId="028154BA" w14:textId="77777777" w:rsidR="00B07E69" w:rsidRPr="00FE49A2" w:rsidRDefault="00B07E69" w:rsidP="00B42979">
            <w:pPr>
              <w:pStyle w:val="ListParagraph"/>
              <w:numPr>
                <w:ilvl w:val="1"/>
                <w:numId w:val="7"/>
              </w:numPr>
              <w:spacing w:before="240"/>
              <w:rPr>
                <w:rFonts w:ascii="Calibri" w:eastAsia="Times New Roman" w:hAnsi="Calibri" w:cs="Calibri"/>
                <w:sz w:val="24"/>
                <w:szCs w:val="24"/>
              </w:rPr>
            </w:pPr>
            <w:r w:rsidRPr="00FE49A2">
              <w:rPr>
                <w:rFonts w:ascii="Calibri" w:eastAsia="Times New Roman" w:hAnsi="Calibri" w:cs="Calibri"/>
                <w:sz w:val="24"/>
                <w:szCs w:val="24"/>
              </w:rPr>
              <w:t>#10 High-Rise Freight Elevator</w:t>
            </w:r>
          </w:p>
          <w:p w14:paraId="369C02AB" w14:textId="012E1143"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 xml:space="preserve">(Floors: Sub, Concourse, Lobby, </w:t>
            </w:r>
            <w:r w:rsidR="004D3ED7">
              <w:rPr>
                <w:rFonts w:ascii="Calibri" w:eastAsia="Times New Roman" w:hAnsi="Calibri" w:cs="Calibri"/>
                <w:sz w:val="24"/>
                <w:szCs w:val="24"/>
              </w:rPr>
              <w:t xml:space="preserve">2, </w:t>
            </w:r>
            <w:r w:rsidRPr="00FE49A2">
              <w:rPr>
                <w:rFonts w:ascii="Calibri" w:eastAsia="Times New Roman" w:hAnsi="Calibri" w:cs="Calibri"/>
                <w:sz w:val="24"/>
                <w:szCs w:val="24"/>
              </w:rPr>
              <w:t>23 thru 37)</w:t>
            </w:r>
          </w:p>
          <w:p w14:paraId="368A160A" w14:textId="5CDF1EF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Height: 120” or 10’</w:t>
            </w:r>
          </w:p>
          <w:p w14:paraId="6A7C4FFA"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Depth:  60” or 5’</w:t>
            </w:r>
          </w:p>
          <w:p w14:paraId="3E151B90"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Cab Width:  80” or 6’5”</w:t>
            </w:r>
          </w:p>
          <w:p w14:paraId="4ACF32D0" w14:textId="77777777" w:rsidR="00B07E69" w:rsidRPr="00FE49A2" w:rsidRDefault="00B07E69" w:rsidP="00B42979">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Door Opening: 4’x6’11”-1/2</w:t>
            </w:r>
          </w:p>
          <w:p w14:paraId="5BDCAA3F" w14:textId="3F504097" w:rsidR="00E1002B" w:rsidRPr="000D325D" w:rsidRDefault="00B07E69" w:rsidP="000D325D">
            <w:pPr>
              <w:pStyle w:val="ListParagraph"/>
              <w:spacing w:before="240"/>
              <w:ind w:left="1800"/>
              <w:rPr>
                <w:rFonts w:ascii="Calibri" w:eastAsia="Times New Roman" w:hAnsi="Calibri" w:cs="Calibri"/>
                <w:sz w:val="24"/>
                <w:szCs w:val="24"/>
              </w:rPr>
            </w:pPr>
            <w:r w:rsidRPr="00FE49A2">
              <w:rPr>
                <w:rFonts w:ascii="Calibri" w:eastAsia="Times New Roman" w:hAnsi="Calibri" w:cs="Calibri"/>
                <w:sz w:val="24"/>
                <w:szCs w:val="24"/>
              </w:rPr>
              <w:t>Weight Limit: 4,000 lbs.</w:t>
            </w:r>
          </w:p>
        </w:tc>
      </w:tr>
      <w:tr w:rsidR="00E1002B" w:rsidRPr="000E1154" w14:paraId="062ADF90" w14:textId="77777777" w:rsidTr="000E1FA2">
        <w:tc>
          <w:tcPr>
            <w:tcW w:w="9350" w:type="dxa"/>
            <w:tcBorders>
              <w:top w:val="single" w:sz="4" w:space="0" w:color="auto"/>
              <w:left w:val="nil"/>
              <w:bottom w:val="nil"/>
              <w:right w:val="nil"/>
            </w:tcBorders>
          </w:tcPr>
          <w:p w14:paraId="236551B3" w14:textId="77777777" w:rsidR="00E1002B" w:rsidRPr="008C1402" w:rsidRDefault="00E1002B" w:rsidP="000E1FA2">
            <w:pPr>
              <w:jc w:val="center"/>
              <w:rPr>
                <w:rFonts w:ascii="Calibri" w:eastAsia="Times New Roman" w:hAnsi="Calibri" w:cs="Calibri"/>
                <w:sz w:val="12"/>
                <w:szCs w:val="12"/>
              </w:rPr>
            </w:pPr>
          </w:p>
          <w:p w14:paraId="68552F99" w14:textId="77777777" w:rsidR="000D325D" w:rsidRDefault="000D325D" w:rsidP="00B07E69">
            <w:pPr>
              <w:jc w:val="center"/>
              <w:rPr>
                <w:rFonts w:ascii="Calibri" w:eastAsia="Times New Roman" w:hAnsi="Calibri" w:cs="Calibri"/>
                <w:sz w:val="24"/>
                <w:szCs w:val="24"/>
              </w:rPr>
            </w:pPr>
            <w:r>
              <w:rPr>
                <w:rFonts w:ascii="Calibri" w:eastAsia="Times New Roman" w:hAnsi="Calibri" w:cs="Calibri"/>
                <w:sz w:val="24"/>
                <w:szCs w:val="24"/>
              </w:rPr>
              <w:t>1818 Market Street</w:t>
            </w:r>
            <w:r w:rsidR="00B07E69">
              <w:rPr>
                <w:rFonts w:ascii="Calibri" w:eastAsia="Times New Roman" w:hAnsi="Calibri" w:cs="Calibri"/>
                <w:sz w:val="24"/>
                <w:szCs w:val="24"/>
              </w:rPr>
              <w:br/>
            </w:r>
            <w:r>
              <w:rPr>
                <w:rFonts w:ascii="Calibri" w:eastAsia="Times New Roman" w:hAnsi="Calibri" w:cs="Calibri"/>
                <w:sz w:val="24"/>
                <w:szCs w:val="24"/>
              </w:rPr>
              <w:t>215-567-7412</w:t>
            </w:r>
          </w:p>
          <w:p w14:paraId="03E51387" w14:textId="295B2DAD" w:rsidR="00E1002B" w:rsidRPr="00B07E69" w:rsidRDefault="00531E3C" w:rsidP="00B07E69">
            <w:pPr>
              <w:jc w:val="center"/>
              <w:rPr>
                <w:rFonts w:ascii="Calibri" w:eastAsia="Times New Roman" w:hAnsi="Calibri" w:cs="Calibri"/>
                <w:sz w:val="24"/>
                <w:szCs w:val="24"/>
              </w:rPr>
            </w:pPr>
            <w:hyperlink r:id="rId10" w:history="1">
              <w:r w:rsidR="000D325D" w:rsidRPr="00B702D7">
                <w:rPr>
                  <w:rStyle w:val="Hyperlink"/>
                  <w:rFonts w:cs="Helvetica"/>
                  <w:sz w:val="21"/>
                  <w:szCs w:val="21"/>
                  <w:lang w:val="en"/>
                </w:rPr>
                <w:t>1818MarketStreet@shorenstein.com</w:t>
              </w:r>
            </w:hyperlink>
          </w:p>
        </w:tc>
      </w:tr>
    </w:tbl>
    <w:p w14:paraId="6D2FD0A5" w14:textId="77777777" w:rsidR="00E1002B" w:rsidRDefault="00E1002B" w:rsidP="00E1002B">
      <w:pPr>
        <w:tabs>
          <w:tab w:val="left" w:pos="630"/>
        </w:tabs>
      </w:pPr>
    </w:p>
    <w:sectPr w:rsidR="00E1002B" w:rsidSect="004D3ED7">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9AE5" w14:textId="77777777" w:rsidR="00531E3C" w:rsidRDefault="00531E3C">
      <w:pPr>
        <w:spacing w:after="0" w:line="240" w:lineRule="auto"/>
      </w:pPr>
      <w:r>
        <w:separator/>
      </w:r>
    </w:p>
  </w:endnote>
  <w:endnote w:type="continuationSeparator" w:id="0">
    <w:p w14:paraId="120C76B5" w14:textId="77777777" w:rsidR="00531E3C" w:rsidRDefault="0053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24706"/>
      <w:docPartObj>
        <w:docPartGallery w:val="Page Numbers (Bottom of Page)"/>
        <w:docPartUnique/>
      </w:docPartObj>
    </w:sdtPr>
    <w:sdtEndPr>
      <w:rPr>
        <w:color w:val="7F7F7F" w:themeColor="background1" w:themeShade="7F"/>
        <w:spacing w:val="60"/>
        <w:sz w:val="20"/>
        <w:szCs w:val="20"/>
      </w:rPr>
    </w:sdtEndPr>
    <w:sdtContent>
      <w:p w14:paraId="7181B852" w14:textId="2E1EA24A" w:rsidR="00835BB3" w:rsidRPr="00835BB3" w:rsidRDefault="00835BB3">
        <w:pPr>
          <w:pStyle w:val="Footer"/>
          <w:pBdr>
            <w:top w:val="single" w:sz="4" w:space="1" w:color="D9D9D9" w:themeColor="background1" w:themeShade="D9"/>
          </w:pBdr>
          <w:rPr>
            <w:b/>
            <w:bCs/>
            <w:sz w:val="20"/>
            <w:szCs w:val="20"/>
          </w:rPr>
        </w:pPr>
        <w:r w:rsidRPr="00835BB3">
          <w:rPr>
            <w:sz w:val="20"/>
            <w:szCs w:val="20"/>
          </w:rPr>
          <w:fldChar w:fldCharType="begin"/>
        </w:r>
        <w:r w:rsidRPr="00835BB3">
          <w:rPr>
            <w:sz w:val="20"/>
            <w:szCs w:val="20"/>
          </w:rPr>
          <w:instrText xml:space="preserve"> PAGE   \* MERGEFORMAT </w:instrText>
        </w:r>
        <w:r w:rsidRPr="00835BB3">
          <w:rPr>
            <w:sz w:val="20"/>
            <w:szCs w:val="20"/>
          </w:rPr>
          <w:fldChar w:fldCharType="separate"/>
        </w:r>
        <w:r w:rsidR="00723269" w:rsidRPr="00723269">
          <w:rPr>
            <w:b/>
            <w:bCs/>
            <w:noProof/>
            <w:sz w:val="20"/>
            <w:szCs w:val="20"/>
          </w:rPr>
          <w:t>1</w:t>
        </w:r>
        <w:r w:rsidRPr="00835BB3">
          <w:rPr>
            <w:b/>
            <w:bCs/>
            <w:noProof/>
            <w:sz w:val="20"/>
            <w:szCs w:val="20"/>
          </w:rPr>
          <w:fldChar w:fldCharType="end"/>
        </w:r>
        <w:r w:rsidRPr="00835BB3">
          <w:rPr>
            <w:b/>
            <w:bCs/>
            <w:sz w:val="20"/>
            <w:szCs w:val="20"/>
          </w:rPr>
          <w:t xml:space="preserve"> | </w:t>
        </w:r>
        <w:r w:rsidRPr="00835BB3">
          <w:rPr>
            <w:color w:val="7F7F7F" w:themeColor="background1" w:themeShade="7F"/>
            <w:spacing w:val="60"/>
            <w:sz w:val="20"/>
            <w:szCs w:val="20"/>
          </w:rPr>
          <w:t>Page</w:t>
        </w:r>
      </w:p>
    </w:sdtContent>
  </w:sdt>
  <w:p w14:paraId="506A1991" w14:textId="77777777" w:rsidR="00835BB3" w:rsidRDefault="0083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20AFB" w14:textId="77777777" w:rsidR="00531E3C" w:rsidRDefault="00531E3C">
      <w:pPr>
        <w:spacing w:after="0" w:line="240" w:lineRule="auto"/>
      </w:pPr>
      <w:r>
        <w:separator/>
      </w:r>
    </w:p>
  </w:footnote>
  <w:footnote w:type="continuationSeparator" w:id="0">
    <w:p w14:paraId="20EF2A15" w14:textId="77777777" w:rsidR="00531E3C" w:rsidRDefault="00531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4A5E" w14:textId="77777777" w:rsidR="00AF5F3A" w:rsidRDefault="00E1002B">
    <w:pPr>
      <w:pStyle w:val="Header"/>
    </w:pPr>
    <w:r>
      <w:rPr>
        <w:noProof/>
      </w:rPr>
      <w:drawing>
        <wp:anchor distT="0" distB="0" distL="114300" distR="114300" simplePos="0" relativeHeight="251659264" behindDoc="1" locked="0" layoutInCell="1" allowOverlap="1" wp14:anchorId="790612D2" wp14:editId="790D01F7">
          <wp:simplePos x="0" y="0"/>
          <wp:positionH relativeFrom="margin">
            <wp:align>center</wp:align>
          </wp:positionH>
          <wp:positionV relativeFrom="paragraph">
            <wp:posOffset>-287020</wp:posOffset>
          </wp:positionV>
          <wp:extent cx="114808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769620"/>
                  </a:xfrm>
                  <a:prstGeom prst="rect">
                    <a:avLst/>
                  </a:prstGeom>
                </pic:spPr>
              </pic:pic>
            </a:graphicData>
          </a:graphic>
          <wp14:sizeRelH relativeFrom="page">
            <wp14:pctWidth>0</wp14:pctWidth>
          </wp14:sizeRelH>
          <wp14:sizeRelV relativeFrom="page">
            <wp14:pctHeight>0</wp14:pctHeight>
          </wp14:sizeRelV>
        </wp:anchor>
      </w:drawing>
    </w:r>
  </w:p>
  <w:p w14:paraId="4885DEE0" w14:textId="77777777" w:rsidR="00AF5F3A" w:rsidRDefault="00531E3C">
    <w:pPr>
      <w:pStyle w:val="Header"/>
    </w:pPr>
  </w:p>
  <w:p w14:paraId="52C41256" w14:textId="77777777" w:rsidR="00AF5F3A" w:rsidRDefault="00531E3C">
    <w:pPr>
      <w:pStyle w:val="Header"/>
    </w:pPr>
  </w:p>
  <w:p w14:paraId="47005AB6" w14:textId="77777777" w:rsidR="00AF5F3A" w:rsidRDefault="00531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D57"/>
    <w:multiLevelType w:val="hybridMultilevel"/>
    <w:tmpl w:val="25CE99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E0474"/>
    <w:multiLevelType w:val="hybridMultilevel"/>
    <w:tmpl w:val="2DCE9E02"/>
    <w:lvl w:ilvl="0" w:tplc="04090003">
      <w:start w:val="1"/>
      <w:numFmt w:val="bullet"/>
      <w:lvlText w:val="o"/>
      <w:lvlJc w:val="left"/>
      <w:pPr>
        <w:ind w:left="720" w:hanging="360"/>
      </w:pPr>
      <w:rPr>
        <w:rFonts w:ascii="Courier New" w:hAnsi="Courier New" w:cs="Courier New" w:hint="default"/>
      </w:rPr>
    </w:lvl>
    <w:lvl w:ilvl="1" w:tplc="CB6A56A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4A3"/>
    <w:multiLevelType w:val="hybridMultilevel"/>
    <w:tmpl w:val="E31C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A52C9"/>
    <w:multiLevelType w:val="hybridMultilevel"/>
    <w:tmpl w:val="7D06DB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13E1"/>
    <w:multiLevelType w:val="hybridMultilevel"/>
    <w:tmpl w:val="9B9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166"/>
    <w:multiLevelType w:val="hybridMultilevel"/>
    <w:tmpl w:val="C0F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6088"/>
    <w:multiLevelType w:val="hybridMultilevel"/>
    <w:tmpl w:val="15C0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28"/>
    <w:rsid w:val="00017B2D"/>
    <w:rsid w:val="00027570"/>
    <w:rsid w:val="00067AAC"/>
    <w:rsid w:val="000D325D"/>
    <w:rsid w:val="00165D46"/>
    <w:rsid w:val="00177E60"/>
    <w:rsid w:val="0018096D"/>
    <w:rsid w:val="001C4E46"/>
    <w:rsid w:val="001D6925"/>
    <w:rsid w:val="001E233F"/>
    <w:rsid w:val="00202215"/>
    <w:rsid w:val="0021019B"/>
    <w:rsid w:val="00221184"/>
    <w:rsid w:val="00237F49"/>
    <w:rsid w:val="002420DE"/>
    <w:rsid w:val="0028406E"/>
    <w:rsid w:val="0028455E"/>
    <w:rsid w:val="002A0B73"/>
    <w:rsid w:val="002A54AB"/>
    <w:rsid w:val="002E014C"/>
    <w:rsid w:val="002F7859"/>
    <w:rsid w:val="003364FE"/>
    <w:rsid w:val="00356B53"/>
    <w:rsid w:val="003640E2"/>
    <w:rsid w:val="00380016"/>
    <w:rsid w:val="00394F3E"/>
    <w:rsid w:val="003B3743"/>
    <w:rsid w:val="00435C92"/>
    <w:rsid w:val="0043738E"/>
    <w:rsid w:val="00442F10"/>
    <w:rsid w:val="0046720C"/>
    <w:rsid w:val="004C56D4"/>
    <w:rsid w:val="004D3ED7"/>
    <w:rsid w:val="005130A0"/>
    <w:rsid w:val="00523E6B"/>
    <w:rsid w:val="00531E3C"/>
    <w:rsid w:val="00554896"/>
    <w:rsid w:val="005775F9"/>
    <w:rsid w:val="00580DCD"/>
    <w:rsid w:val="00582088"/>
    <w:rsid w:val="00585863"/>
    <w:rsid w:val="005A274E"/>
    <w:rsid w:val="005A3F48"/>
    <w:rsid w:val="005B4372"/>
    <w:rsid w:val="005B5C68"/>
    <w:rsid w:val="005B6DE9"/>
    <w:rsid w:val="006464E8"/>
    <w:rsid w:val="006604F8"/>
    <w:rsid w:val="00660874"/>
    <w:rsid w:val="006971DC"/>
    <w:rsid w:val="006A16F3"/>
    <w:rsid w:val="006A7128"/>
    <w:rsid w:val="006C0B20"/>
    <w:rsid w:val="006D0FBF"/>
    <w:rsid w:val="006E30DD"/>
    <w:rsid w:val="006F2D6A"/>
    <w:rsid w:val="007074D5"/>
    <w:rsid w:val="007219AF"/>
    <w:rsid w:val="00723269"/>
    <w:rsid w:val="0079170B"/>
    <w:rsid w:val="007A1324"/>
    <w:rsid w:val="007B4BD9"/>
    <w:rsid w:val="0080111F"/>
    <w:rsid w:val="00804E0C"/>
    <w:rsid w:val="00835BB3"/>
    <w:rsid w:val="00851EB3"/>
    <w:rsid w:val="00873A5E"/>
    <w:rsid w:val="008A4064"/>
    <w:rsid w:val="008A5744"/>
    <w:rsid w:val="008B197F"/>
    <w:rsid w:val="008C1402"/>
    <w:rsid w:val="00910718"/>
    <w:rsid w:val="00987EEB"/>
    <w:rsid w:val="0099451A"/>
    <w:rsid w:val="009C0270"/>
    <w:rsid w:val="009C7584"/>
    <w:rsid w:val="009F754F"/>
    <w:rsid w:val="00A124C4"/>
    <w:rsid w:val="00A15607"/>
    <w:rsid w:val="00A33A6E"/>
    <w:rsid w:val="00A54070"/>
    <w:rsid w:val="00A70774"/>
    <w:rsid w:val="00A730C9"/>
    <w:rsid w:val="00A85FE8"/>
    <w:rsid w:val="00A86FB4"/>
    <w:rsid w:val="00AB73A8"/>
    <w:rsid w:val="00AD60BD"/>
    <w:rsid w:val="00AD69CD"/>
    <w:rsid w:val="00AF2C33"/>
    <w:rsid w:val="00B07E69"/>
    <w:rsid w:val="00B11BD1"/>
    <w:rsid w:val="00B21BE0"/>
    <w:rsid w:val="00B42979"/>
    <w:rsid w:val="00B77C26"/>
    <w:rsid w:val="00B82C86"/>
    <w:rsid w:val="00B844DD"/>
    <w:rsid w:val="00B8538D"/>
    <w:rsid w:val="00B85A9C"/>
    <w:rsid w:val="00BC1862"/>
    <w:rsid w:val="00C22A84"/>
    <w:rsid w:val="00C22E86"/>
    <w:rsid w:val="00C47394"/>
    <w:rsid w:val="00C76068"/>
    <w:rsid w:val="00C95370"/>
    <w:rsid w:val="00CA014F"/>
    <w:rsid w:val="00CA0F23"/>
    <w:rsid w:val="00CA2C90"/>
    <w:rsid w:val="00CD2D52"/>
    <w:rsid w:val="00D10C68"/>
    <w:rsid w:val="00D11D05"/>
    <w:rsid w:val="00D1603F"/>
    <w:rsid w:val="00D6431E"/>
    <w:rsid w:val="00D95585"/>
    <w:rsid w:val="00DA5A33"/>
    <w:rsid w:val="00DC3C6E"/>
    <w:rsid w:val="00DE5E41"/>
    <w:rsid w:val="00DF1223"/>
    <w:rsid w:val="00DF2EAA"/>
    <w:rsid w:val="00DF6834"/>
    <w:rsid w:val="00E1002B"/>
    <w:rsid w:val="00E814B0"/>
    <w:rsid w:val="00E8697A"/>
    <w:rsid w:val="00E93CBD"/>
    <w:rsid w:val="00E94839"/>
    <w:rsid w:val="00EC563B"/>
    <w:rsid w:val="00F079E2"/>
    <w:rsid w:val="00F125B3"/>
    <w:rsid w:val="00F5099A"/>
    <w:rsid w:val="00F57763"/>
    <w:rsid w:val="00F62CE4"/>
    <w:rsid w:val="00F70B0E"/>
    <w:rsid w:val="00FB3F0D"/>
    <w:rsid w:val="00FB54C1"/>
    <w:rsid w:val="00FD5587"/>
    <w:rsid w:val="00FE4173"/>
    <w:rsid w:val="00FE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0F5EA"/>
  <w15:chartTrackingRefBased/>
  <w15:docId w15:val="{C36906C0-D714-487B-A95B-BC53CE1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4F"/>
    <w:pPr>
      <w:ind w:left="720"/>
      <w:contextualSpacing/>
    </w:pPr>
  </w:style>
  <w:style w:type="character" w:styleId="Hyperlink">
    <w:name w:val="Hyperlink"/>
    <w:basedOn w:val="DefaultParagraphFont"/>
    <w:uiPriority w:val="99"/>
    <w:unhideWhenUsed/>
    <w:rsid w:val="00AF2C33"/>
    <w:rPr>
      <w:color w:val="0000FF"/>
      <w:u w:val="single"/>
    </w:rPr>
  </w:style>
  <w:style w:type="character" w:styleId="FollowedHyperlink">
    <w:name w:val="FollowedHyperlink"/>
    <w:basedOn w:val="DefaultParagraphFont"/>
    <w:uiPriority w:val="99"/>
    <w:semiHidden/>
    <w:unhideWhenUsed/>
    <w:rsid w:val="00DE5E41"/>
    <w:rPr>
      <w:color w:val="954F72" w:themeColor="followedHyperlink"/>
      <w:u w:val="single"/>
    </w:rPr>
  </w:style>
  <w:style w:type="character" w:styleId="CommentReference">
    <w:name w:val="annotation reference"/>
    <w:basedOn w:val="DefaultParagraphFont"/>
    <w:uiPriority w:val="99"/>
    <w:semiHidden/>
    <w:unhideWhenUsed/>
    <w:rsid w:val="00435C92"/>
    <w:rPr>
      <w:sz w:val="16"/>
      <w:szCs w:val="16"/>
    </w:rPr>
  </w:style>
  <w:style w:type="paragraph" w:styleId="CommentText">
    <w:name w:val="annotation text"/>
    <w:basedOn w:val="Normal"/>
    <w:link w:val="CommentTextChar"/>
    <w:uiPriority w:val="99"/>
    <w:semiHidden/>
    <w:unhideWhenUsed/>
    <w:rsid w:val="00435C92"/>
    <w:pPr>
      <w:spacing w:line="240" w:lineRule="auto"/>
    </w:pPr>
    <w:rPr>
      <w:sz w:val="20"/>
      <w:szCs w:val="20"/>
    </w:rPr>
  </w:style>
  <w:style w:type="character" w:customStyle="1" w:styleId="CommentTextChar">
    <w:name w:val="Comment Text Char"/>
    <w:basedOn w:val="DefaultParagraphFont"/>
    <w:link w:val="CommentText"/>
    <w:uiPriority w:val="99"/>
    <w:semiHidden/>
    <w:rsid w:val="00435C92"/>
    <w:rPr>
      <w:sz w:val="20"/>
      <w:szCs w:val="20"/>
    </w:rPr>
  </w:style>
  <w:style w:type="paragraph" w:styleId="CommentSubject">
    <w:name w:val="annotation subject"/>
    <w:basedOn w:val="CommentText"/>
    <w:next w:val="CommentText"/>
    <w:link w:val="CommentSubjectChar"/>
    <w:uiPriority w:val="99"/>
    <w:semiHidden/>
    <w:unhideWhenUsed/>
    <w:rsid w:val="00435C92"/>
    <w:rPr>
      <w:b/>
      <w:bCs/>
    </w:rPr>
  </w:style>
  <w:style w:type="character" w:customStyle="1" w:styleId="CommentSubjectChar">
    <w:name w:val="Comment Subject Char"/>
    <w:basedOn w:val="CommentTextChar"/>
    <w:link w:val="CommentSubject"/>
    <w:uiPriority w:val="99"/>
    <w:semiHidden/>
    <w:rsid w:val="00435C92"/>
    <w:rPr>
      <w:b/>
      <w:bCs/>
      <w:sz w:val="20"/>
      <w:szCs w:val="20"/>
    </w:rPr>
  </w:style>
  <w:style w:type="paragraph" w:styleId="BalloonText">
    <w:name w:val="Balloon Text"/>
    <w:basedOn w:val="Normal"/>
    <w:link w:val="BalloonTextChar"/>
    <w:uiPriority w:val="99"/>
    <w:semiHidden/>
    <w:unhideWhenUsed/>
    <w:rsid w:val="0043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92"/>
    <w:rPr>
      <w:rFonts w:ascii="Segoe UI" w:hAnsi="Segoe UI" w:cs="Segoe UI"/>
      <w:sz w:val="18"/>
      <w:szCs w:val="18"/>
    </w:rPr>
  </w:style>
  <w:style w:type="paragraph" w:styleId="Header">
    <w:name w:val="header"/>
    <w:basedOn w:val="Normal"/>
    <w:link w:val="HeaderChar"/>
    <w:uiPriority w:val="99"/>
    <w:unhideWhenUsed/>
    <w:rsid w:val="00E10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2B"/>
  </w:style>
  <w:style w:type="paragraph" w:styleId="Footer">
    <w:name w:val="footer"/>
    <w:basedOn w:val="Normal"/>
    <w:link w:val="FooterChar"/>
    <w:uiPriority w:val="99"/>
    <w:unhideWhenUsed/>
    <w:rsid w:val="00E10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2B"/>
  </w:style>
  <w:style w:type="paragraph" w:styleId="NormalWeb">
    <w:name w:val="Normal (Web)"/>
    <w:basedOn w:val="Normal"/>
    <w:uiPriority w:val="99"/>
    <w:semiHidden/>
    <w:unhideWhenUsed/>
    <w:rsid w:val="00B07E69"/>
    <w:pPr>
      <w:spacing w:after="0" w:line="240" w:lineRule="auto"/>
    </w:pPr>
    <w:rPr>
      <w:rFonts w:ascii="Open Sans" w:eastAsia="Times New Roman" w:hAnsi="Open Sans" w:cs="Times New Roman"/>
      <w:sz w:val="24"/>
      <w:szCs w:val="24"/>
    </w:rPr>
  </w:style>
  <w:style w:type="character" w:customStyle="1" w:styleId="UnresolvedMention">
    <w:name w:val="Unresolved Mention"/>
    <w:basedOn w:val="DefaultParagraphFont"/>
    <w:uiPriority w:val="99"/>
    <w:semiHidden/>
    <w:unhideWhenUsed/>
    <w:rsid w:val="000D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3663">
      <w:bodyDiv w:val="1"/>
      <w:marLeft w:val="0"/>
      <w:marRight w:val="0"/>
      <w:marTop w:val="0"/>
      <w:marBottom w:val="0"/>
      <w:divBdr>
        <w:top w:val="none" w:sz="0" w:space="0" w:color="auto"/>
        <w:left w:val="none" w:sz="0" w:space="0" w:color="auto"/>
        <w:bottom w:val="none" w:sz="0" w:space="0" w:color="auto"/>
        <w:right w:val="none" w:sz="0" w:space="0" w:color="auto"/>
      </w:divBdr>
    </w:div>
    <w:div w:id="167334667">
      <w:bodyDiv w:val="1"/>
      <w:marLeft w:val="0"/>
      <w:marRight w:val="0"/>
      <w:marTop w:val="0"/>
      <w:marBottom w:val="0"/>
      <w:divBdr>
        <w:top w:val="none" w:sz="0" w:space="0" w:color="auto"/>
        <w:left w:val="none" w:sz="0" w:space="0" w:color="auto"/>
        <w:bottom w:val="none" w:sz="0" w:space="0" w:color="auto"/>
        <w:right w:val="none" w:sz="0" w:space="0" w:color="auto"/>
      </w:divBdr>
    </w:div>
    <w:div w:id="949976303">
      <w:bodyDiv w:val="1"/>
      <w:marLeft w:val="0"/>
      <w:marRight w:val="0"/>
      <w:marTop w:val="0"/>
      <w:marBottom w:val="0"/>
      <w:divBdr>
        <w:top w:val="none" w:sz="0" w:space="0" w:color="auto"/>
        <w:left w:val="none" w:sz="0" w:space="0" w:color="auto"/>
        <w:bottom w:val="none" w:sz="0" w:space="0" w:color="auto"/>
        <w:right w:val="none" w:sz="0" w:space="0" w:color="auto"/>
      </w:divBdr>
      <w:divsChild>
        <w:div w:id="260720369">
          <w:marLeft w:val="0"/>
          <w:marRight w:val="0"/>
          <w:marTop w:val="0"/>
          <w:marBottom w:val="0"/>
          <w:divBdr>
            <w:top w:val="none" w:sz="0" w:space="0" w:color="auto"/>
            <w:left w:val="none" w:sz="0" w:space="0" w:color="auto"/>
            <w:bottom w:val="none" w:sz="0" w:space="0" w:color="auto"/>
            <w:right w:val="none" w:sz="0" w:space="0" w:color="auto"/>
          </w:divBdr>
          <w:divsChild>
            <w:div w:id="378476292">
              <w:marLeft w:val="0"/>
              <w:marRight w:val="0"/>
              <w:marTop w:val="0"/>
              <w:marBottom w:val="0"/>
              <w:divBdr>
                <w:top w:val="none" w:sz="0" w:space="0" w:color="auto"/>
                <w:left w:val="none" w:sz="0" w:space="0" w:color="auto"/>
                <w:bottom w:val="none" w:sz="0" w:space="0" w:color="auto"/>
                <w:right w:val="none" w:sz="0" w:space="0" w:color="auto"/>
              </w:divBdr>
              <w:divsChild>
                <w:div w:id="1611082635">
                  <w:marLeft w:val="0"/>
                  <w:marRight w:val="0"/>
                  <w:marTop w:val="600"/>
                  <w:marBottom w:val="600"/>
                  <w:divBdr>
                    <w:top w:val="none" w:sz="0" w:space="0" w:color="auto"/>
                    <w:left w:val="none" w:sz="0" w:space="0" w:color="auto"/>
                    <w:bottom w:val="none" w:sz="0" w:space="0" w:color="auto"/>
                    <w:right w:val="none" w:sz="0" w:space="0" w:color="auto"/>
                  </w:divBdr>
                  <w:divsChild>
                    <w:div w:id="1730105532">
                      <w:marLeft w:val="0"/>
                      <w:marRight w:val="0"/>
                      <w:marTop w:val="0"/>
                      <w:marBottom w:val="0"/>
                      <w:divBdr>
                        <w:top w:val="none" w:sz="0" w:space="0" w:color="auto"/>
                        <w:left w:val="none" w:sz="0" w:space="0" w:color="auto"/>
                        <w:bottom w:val="none" w:sz="0" w:space="0" w:color="auto"/>
                        <w:right w:val="none" w:sz="0" w:space="0" w:color="auto"/>
                      </w:divBdr>
                      <w:divsChild>
                        <w:div w:id="18411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8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1818MarketStreet@shorenstei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ction xmlns="c13abfe9-3625-4891-b4bb-2451a40d2adc">Training</Sction>
    <Archived xmlns="c13abfe9-3625-4891-b4bb-2451a40d2adc">false</Archived>
    <Chapter xmlns="c13abfe9-3625-4891-b4bb-2451a40d2adc">00-unassigned</Chapter>
    <Topic xmlns="c13abfe9-3625-4891-b4bb-2451a40d2adc">Tenant Move-In Rollout</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4EA8CF802BA41BD9E1280E82F8619" ma:contentTypeVersion="43" ma:contentTypeDescription="Create a new document." ma:contentTypeScope="" ma:versionID="e94c66dbc3a1974fd5e88ad12fbaa317">
  <xsd:schema xmlns:xsd="http://www.w3.org/2001/XMLSchema" xmlns:xs="http://www.w3.org/2001/XMLSchema" xmlns:p="http://schemas.microsoft.com/office/2006/metadata/properties" xmlns:ns1="c13abfe9-3625-4891-b4bb-2451a40d2adc" xmlns:ns3="317c34e5-a137-4477-a7de-64a851bd1df6" targetNamespace="http://schemas.microsoft.com/office/2006/metadata/properties" ma:root="true" ma:fieldsID="78dfaa425ef43a55bcb523f7ece09cc3" ns1:_="" ns3:_="">
    <xsd:import namespace="c13abfe9-3625-4891-b4bb-2451a40d2adc"/>
    <xsd:import namespace="317c34e5-a137-4477-a7de-64a851bd1df6"/>
    <xsd:element name="properties">
      <xsd:complexType>
        <xsd:sequence>
          <xsd:element name="documentManagement">
            <xsd:complexType>
              <xsd:all>
                <xsd:element ref="ns1:Chapter"/>
                <xsd:element ref="ns1:Sction"/>
                <xsd:element ref="ns1:Topic" minOccurs="0"/>
                <xsd:element ref="ns1:Archived"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3:SharedWithUsers" minOccurs="0"/>
                <xsd:element ref="ns3:SharedWithDetails" minOccurs="0"/>
                <xsd:element ref="ns1:MediaServiceAutoKeyPoints" minOccurs="0"/>
                <xsd:element ref="ns1: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abfe9-3625-4891-b4bb-2451a40d2adc" elementFormDefault="qualified">
    <xsd:import namespace="http://schemas.microsoft.com/office/2006/documentManagement/types"/>
    <xsd:import namespace="http://schemas.microsoft.com/office/infopath/2007/PartnerControls"/>
    <xsd:element name="Chapter" ma:index="0" ma:displayName="Chapter" ma:default="00-unassigned" ma:format="Dropdown" ma:internalName="Chapter" ma:readOnly="false">
      <xsd:simpleType>
        <xsd:restriction base="dms:Choice">
          <xsd:enumeration value="00-unassigned"/>
          <xsd:enumeration value="01-Introduction"/>
          <xsd:enumeration value="02-Accounting &amp; Finance"/>
          <xsd:enumeration value="03-Emergency Preparedness"/>
          <xsd:enumeration value="04-Bidding &amp; Contracting"/>
          <xsd:enumeration value="05-Building Operations"/>
          <xsd:enumeration value="06-Office Administration"/>
          <xsd:enumeration value="07-Engineering Services"/>
          <xsd:enumeration value="08-Branding &amp; Image"/>
          <xsd:enumeration value="09-Construction"/>
          <xsd:enumeration value="10-Lease Administration"/>
          <xsd:enumeration value="11-Insurance &amp; Risk Management"/>
          <xsd:enumeration value="12-Sustainability"/>
        </xsd:restriction>
      </xsd:simpleType>
    </xsd:element>
    <xsd:element name="Sction" ma:index="1" ma:displayName="Section" ma:default="Policy" ma:format="Dropdown" ma:internalName="Sction" ma:readOnly="false">
      <xsd:simpleType>
        <xsd:restriction base="dms:Choice">
          <xsd:enumeration value="Policy"/>
          <xsd:enumeration value="Resources &amp; Forms"/>
          <xsd:enumeration value="Training"/>
        </xsd:restriction>
      </xsd:simpleType>
    </xsd:element>
    <xsd:element name="Topic" ma:index="2" nillable="true" ma:displayName="Topic" ma:format="Dropdown" ma:internalName="Topic" ma:readOnly="false">
      <xsd:simpleType>
        <xsd:union memberTypes="dms:Text">
          <xsd:simpleType>
            <xsd:restriction base="dms:Choice">
              <xsd:enumeration value="Angus"/>
              <xsd:enumeration value="A/P Nexus"/>
              <xsd:enumeration value="A/P Yardi"/>
              <xsd:enumeration value="A/R CTI"/>
              <xsd:enumeration value="Budget"/>
              <xsd:enumeration value="Case Study"/>
              <xsd:enumeration value="Compliance"/>
              <xsd:enumeration value="Contract - Construction"/>
              <xsd:enumeration value="Customer Service"/>
              <xsd:enumeration value="Electronic Tenant"/>
              <xsd:enumeration value="Engineering"/>
              <xsd:enumeration value="Environmental"/>
              <xsd:enumeration value="General Building"/>
              <xsd:enumeration value="G.R.E.E.N. Initiative"/>
              <xsd:enumeration value="Lease Admin"/>
              <xsd:enumeration value="Legal"/>
              <xsd:enumeration value="Lien"/>
              <xsd:enumeration value="MAP"/>
              <xsd:enumeration value="PREP"/>
              <xsd:enumeration value="Riser Mgmt"/>
              <xsd:enumeration value="Security"/>
              <xsd:enumeration value="Send Word Now"/>
              <xsd:enumeration value="Technology Review"/>
              <xsd:enumeration value="WorkSpeed"/>
              <xsd:enumeration value="Elevator - Bid"/>
              <xsd:enumeration value="Elevator - Contract"/>
              <xsd:enumeration value="Janitorial - Bid"/>
              <xsd:enumeration value="Janitorial - Contract"/>
              <xsd:enumeration value="Parking - Bid"/>
              <xsd:enumeration value="Parking - Contract"/>
              <xsd:enumeration value="Security - Contract"/>
              <xsd:enumeration value="Security - Bid"/>
              <xsd:enumeration value="Sustainability - Contract"/>
            </xsd:restriction>
          </xsd:simpleType>
        </xsd:union>
      </xsd:simpleType>
    </xsd:element>
    <xsd:element name="Archived" ma:index="5" nillable="true" ma:displayName="Archived" ma:default="0" ma:internalName="Archived"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c34e5-a137-4477-a7de-64a851bd1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B64EE-8D59-4D95-833A-AD16510745EA}">
  <ds:schemaRefs>
    <ds:schemaRef ds:uri="http://schemas.microsoft.com/office/2006/metadata/properties"/>
    <ds:schemaRef ds:uri="http://schemas.microsoft.com/office/infopath/2007/PartnerControls"/>
    <ds:schemaRef ds:uri="c13abfe9-3625-4891-b4bb-2451a40d2adc"/>
  </ds:schemaRefs>
</ds:datastoreItem>
</file>

<file path=customXml/itemProps2.xml><?xml version="1.0" encoding="utf-8"?>
<ds:datastoreItem xmlns:ds="http://schemas.openxmlformats.org/officeDocument/2006/customXml" ds:itemID="{98BA7159-70FB-42DF-B485-2282865F03FA}">
  <ds:schemaRefs>
    <ds:schemaRef ds:uri="http://schemas.microsoft.com/sharepoint/v3/contenttype/forms"/>
  </ds:schemaRefs>
</ds:datastoreItem>
</file>

<file path=customXml/itemProps3.xml><?xml version="1.0" encoding="utf-8"?>
<ds:datastoreItem xmlns:ds="http://schemas.openxmlformats.org/officeDocument/2006/customXml" ds:itemID="{B8FD5D62-7E06-45BC-9297-4D87A8DD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abfe9-3625-4891-b4bb-2451a40d2adc"/>
    <ds:schemaRef ds:uri="317c34e5-a137-4477-a7de-64a851bd1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Building Moving Procedures Template</vt:lpstr>
    </vt:vector>
  </TitlesOfParts>
  <Company>Shorenstein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Moving Procedures Template</dc:title>
  <dc:subject/>
  <dc:creator>Linda Bettencourt</dc:creator>
  <cp:keywords/>
  <dc:description/>
  <cp:lastModifiedBy>Olivia Wells</cp:lastModifiedBy>
  <cp:revision>2</cp:revision>
  <dcterms:created xsi:type="dcterms:W3CDTF">2020-02-14T18:27:00Z</dcterms:created>
  <dcterms:modified xsi:type="dcterms:W3CDTF">2020-02-14T18:27:00Z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0x0101001664EA8CF802BA41BD9E1280E82F8619</vt:lpwstr>
  </property>
</Properties>
</file>